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FF63BF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FF63BF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FF63BF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FF63BF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FF63BF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общеобразовательное учреждение «Средняя школа № 29»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21724481</w:t>
            </w:r>
          </w:p>
        </w:tc>
      </w:tr>
      <w:tr w:rsidR="00FF63BF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center"/>
            </w:pP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FF63BF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center"/>
            </w:pPr>
          </w:p>
        </w:tc>
      </w:tr>
      <w:tr w:rsidR="00FF63BF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FF63BF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FF63BF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  <w:jc w:val="center"/>
            </w:pP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FF63BF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FF63BF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F63BF" w:rsidRDefault="00FF63BF">
      <w:pPr>
        <w:rPr>
          <w:vanish/>
        </w:rPr>
      </w:pPr>
      <w:bookmarkStart w:id="2" w:name="__bookmark_3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F63BF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общеобразовательное учреждение «Средняя школа № 29 в соответствии с Гражданским кодексом Российской Федерации Федеральным законом от 12 января 1996 года № 7 - ФЗ «О некоммерческих организациях» по типу и организационно- правовой форме являетс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 бюджетным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учреждением..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Сокращенное наименование – средняя школа № 29. Местонахождение: 150061, г. Ярославль, Архангельский проезд, д.13. Тип учреждения - бюджетное учреждение (с 01.11.2011г.) Вид учреждения - средняя школа. Учредитель школы - от имени г</w:t>
                  </w:r>
                  <w:r>
                    <w:rPr>
                      <w:color w:val="000000"/>
                      <w:sz w:val="28"/>
                      <w:szCs w:val="28"/>
                    </w:rPr>
                    <w:t>орода Ярославля мэрия города в лице департамента образования мэрии. Права и обязанности школы и учредителя определяются договором, заключенным между ними в соответствии с законодательством РФ. Средняя школа № 29 является юридическим лицом, имеет круглую Ге</w:t>
                  </w:r>
                  <w:r>
                    <w:rPr>
                      <w:color w:val="000000"/>
                      <w:sz w:val="28"/>
                      <w:szCs w:val="28"/>
                    </w:rPr>
                    <w:t>рбовую печать, установленного образца, штампы, бланки, имеет право на открытие счета в банке. Средняя школа № 29 осуществляет свою юридическую деятельность на основании Устава, зарегистрированного регистрационно-лицензионной палатой г. Ярославля, регистрац</w:t>
                  </w:r>
                  <w:r>
                    <w:rPr>
                      <w:color w:val="000000"/>
                      <w:sz w:val="28"/>
                      <w:szCs w:val="28"/>
                    </w:rPr>
                    <w:t>ионный номер 376 от 19.07.1993 г., утвержденного приказом департамента образования мэрии города Ярославля № 01-05/861 от 02.11.2015г</w:t>
                  </w: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Школе представляются субсидии из бюджета города Ярославля на финансов</w:t>
                  </w:r>
                  <w:r>
                    <w:rPr>
                      <w:color w:val="000000"/>
                      <w:sz w:val="28"/>
                      <w:szCs w:val="28"/>
                    </w:rPr>
                    <w:t>ое обеспечение выполнения муниципального задания на оказание муниципальных услуг (выполнение работ), за 2021 год они составили 35934192,6 руб. Получены средства от приносящей доход деятельности в сумме 292725,85 руб. Средней школе № 29 предоставляются субс</w:t>
                  </w:r>
                  <w:r>
                    <w:rPr>
                      <w:color w:val="000000"/>
                      <w:sz w:val="28"/>
                      <w:szCs w:val="28"/>
                    </w:rPr>
                    <w:t>идии на иные цели, за 2021 год и составили 6105271,19 руб.</w:t>
                  </w:r>
                </w:p>
                <w:p w:rsidR="00FF63BF" w:rsidRDefault="00FF63BF"/>
                <w:p w:rsidR="00FF63BF" w:rsidRDefault="00FF63B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3"/>
                    <w:gridCol w:w="5103"/>
                  </w:tblGrid>
                  <w:tr w:rsidR="00FF63BF"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</w:tr>
                </w:tbl>
                <w:p w:rsidR="00FF63BF" w:rsidRDefault="00FF63B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3"/>
                    <w:gridCol w:w="5103"/>
                  </w:tblGrid>
                  <w:tr w:rsidR="00FF63BF"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</w:tr>
                </w:tbl>
                <w:p w:rsidR="00FF63BF" w:rsidRDefault="00FF63B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3"/>
                    <w:gridCol w:w="5103"/>
                  </w:tblGrid>
                  <w:tr w:rsidR="00FF63BF"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51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FF63BF"/>
                      <w:p w:rsidR="00FF63BF" w:rsidRDefault="00FF63BF"/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Средняя школа № 29 за 2021 году исполнила ПФХД по муниципальной услуге на сумму 35 970 584,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72  руб.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иным целям исполнено на 6 064 964,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93  руб.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основании потребности учреждения и финансирования учредителем.</w:t>
                  </w: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</w:t>
            </w:r>
            <w:r>
              <w:rPr>
                <w:b/>
                <w:bCs/>
                <w:color w:val="000000"/>
                <w:sz w:val="28"/>
                <w:szCs w:val="28"/>
              </w:rPr>
              <w:t>ти учреждения»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Баланс</w:t>
                  </w:r>
                </w:p>
                <w:p w:rsidR="00FF63BF" w:rsidRDefault="00FF63B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3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608"/>
                    <w:gridCol w:w="1109"/>
                    <w:gridCol w:w="1182"/>
                    <w:gridCol w:w="390"/>
                    <w:gridCol w:w="1050"/>
                    <w:gridCol w:w="1178"/>
                    <w:gridCol w:w="2428"/>
                  </w:tblGrid>
                  <w:tr w:rsidR="00FF63BF"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Сообщение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Код строки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Графа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Значение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Оп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Правая часть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Отклонение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пояснение</w:t>
                        </w:r>
                      </w:p>
                    </w:tc>
                  </w:tr>
                  <w:tr w:rsidR="00FF63BF"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Показатели по счету 0 201 00 000 - требуют пояснения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127 735,64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127 735,64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Остаток по КФО 2 - средства родителей на питание, доходы от оказания платных услуг</w:t>
                        </w:r>
                      </w:p>
                    </w:tc>
                  </w:tr>
                  <w:tr w:rsidR="00FF63BF"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Показатели по счету 0 201 00 000 - требуют пояснения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228 455,09</w:t>
                        </w:r>
                      </w:p>
                      <w:p w:rsidR="00FF63BF" w:rsidRDefault="00FF63BF"/>
                      <w:p w:rsidR="00FF63BF" w:rsidRDefault="00FF63BF"/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228 455,09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Остаток по КФО 4 ст. 211,221,310,346 задолженности по заработной плате на 31.12.2021 нет, будет истрачен в 2022г., задолженности по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договорам нет</w:t>
                        </w:r>
                      </w:p>
                    </w:tc>
                  </w:tr>
                  <w:tr w:rsidR="00FF63BF"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Показатели по счету 0 201 00 000 - требуют пояснения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40 306,26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40 306,26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DA5D50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Остаток по КФО 5 по финансированию питания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учащихся,  вознаграждения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за классное руководство. все договора оплачены в полном объеме, заработная плата выплачена в полном объеме, кредиторской задолженности нет</w:t>
                        </w:r>
                      </w:p>
                    </w:tc>
                  </w:tr>
                </w:tbl>
                <w:p w:rsidR="00FF63BF" w:rsidRDefault="00FF63B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6"/>
                    <w:gridCol w:w="1316"/>
                    <w:gridCol w:w="1017"/>
                    <w:gridCol w:w="1890"/>
                    <w:gridCol w:w="1890"/>
                    <w:gridCol w:w="1465"/>
                  </w:tblGrid>
                  <w:tr w:rsidR="00FF63BF">
                    <w:tc>
                      <w:tcPr>
                        <w:tcW w:w="26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3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0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  <w:tc>
                      <w:tcPr>
                        <w:tcW w:w="1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F63BF" w:rsidRDefault="00FF63BF"/>
                      <w:p w:rsidR="00FF63BF" w:rsidRDefault="00FF63BF"/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С КФО 5 на КФО 4 переведено оборудование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материалы  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сумме 1214983,99  руб.</w:t>
                  </w:r>
                </w:p>
                <w:p w:rsidR="00FF63BF" w:rsidRDefault="00DA5D50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целях составления бюджетной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отчетности  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2021 год   учреждением на основании приказа 174/1 от 23.10.2021 г. проведена г</w:t>
                  </w:r>
                  <w:r>
                    <w:rPr>
                      <w:color w:val="000000"/>
                      <w:sz w:val="28"/>
                      <w:szCs w:val="28"/>
                    </w:rPr>
                    <w:t>одовая инвентаризация активов и обязательств. Расхождений данных бюджетного учета и фактического наличия не установлено, недостач и хищений имущества не выявлено.</w:t>
                  </w:r>
                </w:p>
              </w:tc>
            </w:tr>
          </w:tbl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63BF" w:rsidRDefault="00FF63BF">
      <w:pPr>
        <w:rPr>
          <w:vanish/>
        </w:rPr>
      </w:pPr>
      <w:bookmarkStart w:id="3" w:name="__bookmark_4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FF63BF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F63BF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F63BF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И.В. Смирнова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3BF" w:rsidRDefault="00DA5D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FF63BF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</w:rPr>
                          <w:t>Сертификат: 2C2DB540F99E93D542D371F5F660D500E7950A5F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Владелец: Смирнова Ирина Валерьевна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Действителен с 29.12.2020 по 29.03.2022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F63BF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F63BF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Воронцова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3BF" w:rsidRDefault="00DA5D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FF63BF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</w:rPr>
                          <w:t>Сертификат: 2C2DB540F99E93D542D371F5F660D500E7950A5F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Владелец: Воронцова Надежда Владимировна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lastRenderedPageBreak/>
                          <w:t>Действителен с 29.12.2020 по 29.03.2022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F63BF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F63BF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Воронцова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3BF" w:rsidRDefault="00DA5D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FF63BF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FF63BF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</w:rPr>
                          <w:t>Сертификат: 2C2DB540F99E93D542D371F5F660D500E7950A5F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Владелец: Воронцова Надежда Владимировна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Действителен с 29.12.2020 по 29.03.2022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</w:tr>
    </w:tbl>
    <w:p w:rsidR="00FF63BF" w:rsidRDefault="00FF63BF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FF63BF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63BF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63BF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(наименование, </w:t>
            </w:r>
            <w:proofErr w:type="gramStart"/>
            <w:r>
              <w:rPr>
                <w:color w:val="000000"/>
                <w:sz w:val="28"/>
                <w:szCs w:val="28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63BF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</w:tr>
    </w:tbl>
    <w:p w:rsidR="00FF63BF" w:rsidRDefault="00FF63BF">
      <w:pPr>
        <w:rPr>
          <w:vanish/>
        </w:rPr>
      </w:pPr>
      <w:bookmarkStart w:id="5" w:name="__bookmark_6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FF63BF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FF63BF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FF63BF">
                  <w:pPr>
                    <w:spacing w:line="1" w:lineRule="auto"/>
                    <w:jc w:val="center"/>
                  </w:pP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FF63BF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</w:tr>
      <w:tr w:rsidR="00FF63BF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FF63BF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Воронцова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FF63BF">
        <w:tc>
          <w:tcPr>
            <w:tcW w:w="7215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FF63BF">
              <w:trPr>
                <w:trHeight w:val="230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3BF" w:rsidRDefault="00DA5D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FF63BF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FF63BF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63BF" w:rsidRDefault="00DA5D50">
                        <w:r>
                          <w:rPr>
                            <w:color w:val="000000"/>
                          </w:rPr>
                          <w:t>Сертификат: 2C2DB540F99E93D542D371F5F660D500E7950A5F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Владелец: Воронцова Надежда Владимировна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Действителен с 29.12.2020 по 29.03.2022</w:t>
                        </w:r>
                      </w:p>
                      <w:p w:rsidR="00FF63BF" w:rsidRDefault="00DA5D50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FF63BF" w:rsidRDefault="00FF63BF">
                  <w:pPr>
                    <w:spacing w:line="1" w:lineRule="auto"/>
                  </w:pP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c>
          <w:tcPr>
            <w:tcW w:w="7215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3BF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FF63BF">
            <w:pPr>
              <w:spacing w:line="1" w:lineRule="auto"/>
              <w:jc w:val="center"/>
            </w:pPr>
          </w:p>
        </w:tc>
      </w:tr>
      <w:tr w:rsidR="00FF63BF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</w:tr>
      <w:tr w:rsidR="00FF63BF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(телефон, 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</w:tr>
      <w:tr w:rsidR="00FF63BF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F63BF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3BF" w:rsidRDefault="00DA5D50">
                  <w:r>
                    <w:rPr>
                      <w:color w:val="000000"/>
                      <w:sz w:val="28"/>
                      <w:szCs w:val="28"/>
                    </w:rPr>
                    <w:t>28 января 2022 г.</w:t>
                  </w:r>
                </w:p>
              </w:tc>
            </w:tr>
          </w:tbl>
          <w:p w:rsidR="00FF63BF" w:rsidRDefault="00FF63BF">
            <w:pPr>
              <w:spacing w:line="1" w:lineRule="auto"/>
            </w:pPr>
          </w:p>
        </w:tc>
      </w:tr>
    </w:tbl>
    <w:p w:rsidR="00FF63BF" w:rsidRDefault="00FF63BF">
      <w:pPr>
        <w:sectPr w:rsidR="00FF63BF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FF63BF" w:rsidRDefault="00FF63BF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FF63BF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FF63BF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FF63BF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FF63BF" w:rsidRDefault="00FF63BF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FF63BF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FF63BF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F63BF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</w:tr>
      <w:tr w:rsidR="00FF63BF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</w:tr>
      <w:tr w:rsidR="00FF63BF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</w:tr>
      <w:tr w:rsidR="00FF63BF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 Методы учета суммы амортизации при переоценке объекта основных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способ. Момент отражения - дата ввода в эксплуатацию</w:t>
            </w:r>
          </w:p>
        </w:tc>
      </w:tr>
      <w:tr w:rsidR="00FF63BF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</w:tr>
      <w:tr w:rsidR="00FF63BF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DA5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3BF" w:rsidRDefault="00FF63BF">
            <w:pPr>
              <w:spacing w:line="1" w:lineRule="auto"/>
            </w:pPr>
          </w:p>
        </w:tc>
      </w:tr>
    </w:tbl>
    <w:p w:rsidR="00DA5D50" w:rsidRDefault="00DA5D50"/>
    <w:sectPr w:rsidR="00DA5D50" w:rsidSect="00FF63BF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50" w:rsidRDefault="00DA5D50" w:rsidP="00FF63BF">
      <w:r>
        <w:separator/>
      </w:r>
    </w:p>
  </w:endnote>
  <w:endnote w:type="continuationSeparator" w:id="0">
    <w:p w:rsidR="00DA5D50" w:rsidRDefault="00DA5D50" w:rsidP="00F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F63BF">
      <w:tc>
        <w:tcPr>
          <w:tcW w:w="10421" w:type="dxa"/>
        </w:tcPr>
        <w:p w:rsidR="00FF63BF" w:rsidRDefault="00FF63B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F63BF">
      <w:tc>
        <w:tcPr>
          <w:tcW w:w="10421" w:type="dxa"/>
        </w:tcPr>
        <w:p w:rsidR="00FF63BF" w:rsidRDefault="00FF63B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50" w:rsidRDefault="00DA5D50" w:rsidP="00FF63BF">
      <w:r>
        <w:separator/>
      </w:r>
    </w:p>
  </w:footnote>
  <w:footnote w:type="continuationSeparator" w:id="0">
    <w:p w:rsidR="00DA5D50" w:rsidRDefault="00DA5D50" w:rsidP="00FF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F63BF">
      <w:tc>
        <w:tcPr>
          <w:tcW w:w="10421" w:type="dxa"/>
        </w:tcPr>
        <w:p w:rsidR="00FF63BF" w:rsidRDefault="00FF63B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F63BF">
      <w:tc>
        <w:tcPr>
          <w:tcW w:w="10421" w:type="dxa"/>
        </w:tcPr>
        <w:p w:rsidR="00FF63BF" w:rsidRDefault="00FF63B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BF"/>
    <w:rsid w:val="00DA5D50"/>
    <w:rsid w:val="00EB618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95A6-0225-4BDA-B822-60669DD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2022-06-07T07:04:00Z</dcterms:created>
  <dcterms:modified xsi:type="dcterms:W3CDTF">2022-06-07T07:04:00Z</dcterms:modified>
</cp:coreProperties>
</file>